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1490D" w14:textId="0D22BCF8" w:rsidR="00A34EAB" w:rsidRPr="005B396C" w:rsidRDefault="00A34EAB" w:rsidP="00A34EAB">
      <w:pPr>
        <w:jc w:val="center"/>
        <w:rPr>
          <w:b/>
          <w:sz w:val="24"/>
          <w:szCs w:val="24"/>
          <w:u w:val="single"/>
          <w:lang w:val="en-US"/>
        </w:rPr>
      </w:pPr>
      <w:r w:rsidRPr="005B396C">
        <w:rPr>
          <w:b/>
          <w:sz w:val="24"/>
          <w:szCs w:val="24"/>
          <w:u w:val="single"/>
          <w:lang w:val="en-US"/>
        </w:rPr>
        <w:t xml:space="preserve">The transfer of employee </w:t>
      </w:r>
      <w:r w:rsidR="0033004C" w:rsidRPr="005B396C">
        <w:rPr>
          <w:b/>
          <w:sz w:val="24"/>
          <w:szCs w:val="24"/>
          <w:u w:val="single"/>
          <w:lang w:val="en-US"/>
        </w:rPr>
        <w:t>information</w:t>
      </w:r>
      <w:r w:rsidRPr="005B396C">
        <w:rPr>
          <w:b/>
          <w:sz w:val="24"/>
          <w:szCs w:val="24"/>
          <w:u w:val="single"/>
          <w:lang w:val="en-US"/>
        </w:rPr>
        <w:t xml:space="preserve"> to </w:t>
      </w:r>
      <w:r w:rsidR="005B396C">
        <w:rPr>
          <w:b/>
          <w:sz w:val="24"/>
          <w:szCs w:val="24"/>
          <w:u w:val="single"/>
          <w:lang w:val="en-US"/>
        </w:rPr>
        <w:t xml:space="preserve">a </w:t>
      </w:r>
      <w:r w:rsidRPr="005B396C">
        <w:rPr>
          <w:b/>
          <w:sz w:val="24"/>
          <w:szCs w:val="24"/>
          <w:u w:val="single"/>
          <w:lang w:val="en-US"/>
        </w:rPr>
        <w:t xml:space="preserve">new line manager </w:t>
      </w:r>
    </w:p>
    <w:p w14:paraId="6FC1F3B5" w14:textId="3F6196CE" w:rsidR="00A34EAB" w:rsidRPr="005B396C" w:rsidRDefault="0033004C" w:rsidP="00A34EAB">
      <w:pPr>
        <w:rPr>
          <w:i/>
          <w:iCs/>
          <w:lang w:val="en-US"/>
        </w:rPr>
      </w:pPr>
      <w:r w:rsidRPr="005B396C">
        <w:rPr>
          <w:i/>
          <w:iCs/>
          <w:lang w:val="en-US"/>
        </w:rPr>
        <w:t xml:space="preserve">This guidance is relevant to those </w:t>
      </w:r>
      <w:r w:rsidR="00046179" w:rsidRPr="005B396C">
        <w:rPr>
          <w:i/>
          <w:iCs/>
          <w:lang w:val="en-US"/>
        </w:rPr>
        <w:t xml:space="preserve">individuals that move roles internally and therefore are allocated a new line manager, or for those staff who stay in existing roles but </w:t>
      </w:r>
      <w:r w:rsidR="00392286">
        <w:rPr>
          <w:i/>
          <w:iCs/>
          <w:lang w:val="en-US"/>
        </w:rPr>
        <w:t>are allocated</w:t>
      </w:r>
      <w:r w:rsidR="00046179" w:rsidRPr="005B396C">
        <w:rPr>
          <w:i/>
          <w:iCs/>
          <w:lang w:val="en-US"/>
        </w:rPr>
        <w:t xml:space="preserve"> a new line manager. </w:t>
      </w:r>
      <w:r w:rsidR="005B396C" w:rsidRPr="005B396C">
        <w:rPr>
          <w:i/>
          <w:iCs/>
          <w:lang w:val="en-US"/>
        </w:rPr>
        <w:t xml:space="preserve">Either way, below captures the information that the new line manager should request from the previous line manager. </w:t>
      </w:r>
    </w:p>
    <w:tbl>
      <w:tblPr>
        <w:tblStyle w:val="TableGrid"/>
        <w:tblW w:w="0" w:type="auto"/>
        <w:tblLook w:val="04A0" w:firstRow="1" w:lastRow="0" w:firstColumn="1" w:lastColumn="0" w:noHBand="0" w:noVBand="1"/>
      </w:tblPr>
      <w:tblGrid>
        <w:gridCol w:w="988"/>
        <w:gridCol w:w="850"/>
        <w:gridCol w:w="7178"/>
      </w:tblGrid>
      <w:tr w:rsidR="00A34EAB" w14:paraId="2284E996" w14:textId="77777777" w:rsidTr="00F41E2A">
        <w:tc>
          <w:tcPr>
            <w:tcW w:w="988" w:type="dxa"/>
          </w:tcPr>
          <w:p w14:paraId="7EAF4CE1" w14:textId="77777777" w:rsidR="00A34EAB" w:rsidRDefault="00A34EAB" w:rsidP="00F41E2A">
            <w:pPr>
              <w:rPr>
                <w:b/>
                <w:bCs/>
                <w:lang w:val="en-US"/>
              </w:rPr>
            </w:pPr>
            <w:r>
              <w:rPr>
                <w:b/>
                <w:bCs/>
                <w:lang w:val="en-US"/>
              </w:rPr>
              <w:t>Number</w:t>
            </w:r>
          </w:p>
        </w:tc>
        <w:tc>
          <w:tcPr>
            <w:tcW w:w="850" w:type="dxa"/>
          </w:tcPr>
          <w:p w14:paraId="262543C2" w14:textId="77777777" w:rsidR="00A34EAB" w:rsidRDefault="00A34EAB" w:rsidP="00F41E2A">
            <w:pPr>
              <w:rPr>
                <w:b/>
                <w:bCs/>
                <w:lang w:val="en-US"/>
              </w:rPr>
            </w:pPr>
            <w:r>
              <w:rPr>
                <w:b/>
                <w:bCs/>
                <w:lang w:val="en-US"/>
              </w:rPr>
              <w:t>Tick or N/A</w:t>
            </w:r>
          </w:p>
        </w:tc>
        <w:tc>
          <w:tcPr>
            <w:tcW w:w="7178" w:type="dxa"/>
          </w:tcPr>
          <w:p w14:paraId="7EA5323A" w14:textId="77777777" w:rsidR="00A34EAB" w:rsidRDefault="00A34EAB" w:rsidP="00F41E2A">
            <w:pPr>
              <w:rPr>
                <w:b/>
                <w:bCs/>
                <w:lang w:val="en-US"/>
              </w:rPr>
            </w:pPr>
            <w:r>
              <w:rPr>
                <w:b/>
                <w:bCs/>
                <w:lang w:val="en-US"/>
              </w:rPr>
              <w:t>Activity</w:t>
            </w:r>
          </w:p>
        </w:tc>
      </w:tr>
      <w:tr w:rsidR="00A34EAB" w14:paraId="43D025B1" w14:textId="77777777" w:rsidTr="00F41E2A">
        <w:tc>
          <w:tcPr>
            <w:tcW w:w="9016" w:type="dxa"/>
            <w:gridSpan w:val="3"/>
            <w:shd w:val="clear" w:color="auto" w:fill="A6A6A6" w:themeFill="background1" w:themeFillShade="A6"/>
          </w:tcPr>
          <w:p w14:paraId="6001E58C" w14:textId="77777777" w:rsidR="00A34EAB" w:rsidRDefault="00A34EAB" w:rsidP="00F41E2A">
            <w:pPr>
              <w:rPr>
                <w:b/>
                <w:bCs/>
                <w:lang w:val="en-US"/>
              </w:rPr>
            </w:pPr>
          </w:p>
        </w:tc>
      </w:tr>
      <w:tr w:rsidR="00A34EAB" w14:paraId="356088AE" w14:textId="77777777" w:rsidTr="00F41E2A">
        <w:tc>
          <w:tcPr>
            <w:tcW w:w="988" w:type="dxa"/>
          </w:tcPr>
          <w:p w14:paraId="2342DE7B" w14:textId="77777777" w:rsidR="00A34EAB" w:rsidRDefault="00A34EAB" w:rsidP="00F41E2A">
            <w:pPr>
              <w:rPr>
                <w:b/>
                <w:bCs/>
                <w:lang w:val="en-US"/>
              </w:rPr>
            </w:pPr>
            <w:r>
              <w:rPr>
                <w:b/>
                <w:bCs/>
                <w:lang w:val="en-US"/>
              </w:rPr>
              <w:t>1.</w:t>
            </w:r>
          </w:p>
        </w:tc>
        <w:tc>
          <w:tcPr>
            <w:tcW w:w="850" w:type="dxa"/>
          </w:tcPr>
          <w:p w14:paraId="575DCCBB" w14:textId="77777777" w:rsidR="00A34EAB" w:rsidRDefault="00A34EAB" w:rsidP="00F41E2A">
            <w:pPr>
              <w:rPr>
                <w:b/>
                <w:bCs/>
                <w:lang w:val="en-US"/>
              </w:rPr>
            </w:pPr>
          </w:p>
        </w:tc>
        <w:tc>
          <w:tcPr>
            <w:tcW w:w="7178" w:type="dxa"/>
          </w:tcPr>
          <w:p w14:paraId="4483F6AD" w14:textId="77777777" w:rsidR="00A34EAB" w:rsidRPr="00F81763" w:rsidRDefault="00A34EAB" w:rsidP="00F41E2A">
            <w:pPr>
              <w:rPr>
                <w:b/>
                <w:bCs/>
                <w:lang w:val="en-US"/>
              </w:rPr>
            </w:pPr>
            <w:r w:rsidRPr="00F81763">
              <w:rPr>
                <w:b/>
                <w:bCs/>
                <w:lang w:val="en-US"/>
              </w:rPr>
              <w:t>Line manager checks</w:t>
            </w:r>
          </w:p>
          <w:p w14:paraId="159B3566" w14:textId="77777777" w:rsidR="00A34EAB" w:rsidRPr="00F81763" w:rsidRDefault="00A34EAB" w:rsidP="00F41E2A">
            <w:pPr>
              <w:rPr>
                <w:lang w:val="en-US"/>
              </w:rPr>
            </w:pPr>
            <w:r w:rsidRPr="00F81763">
              <w:rPr>
                <w:lang w:val="en-US"/>
              </w:rPr>
              <w:t xml:space="preserve">When a </w:t>
            </w:r>
            <w:r>
              <w:rPr>
                <w:lang w:val="en-US"/>
              </w:rPr>
              <w:t xml:space="preserve">line manager receives a new internal member of their staff into their team, they should check that they have all relevant contact details on ERP listed correctly. This should include correct address, emergency contact, contact telephone numbers. </w:t>
            </w:r>
          </w:p>
          <w:p w14:paraId="7E5C48C4" w14:textId="77777777" w:rsidR="00A34EAB" w:rsidRDefault="00A34EAB" w:rsidP="00F41E2A">
            <w:pPr>
              <w:rPr>
                <w:b/>
                <w:bCs/>
                <w:lang w:val="en-US"/>
              </w:rPr>
            </w:pPr>
          </w:p>
        </w:tc>
      </w:tr>
      <w:tr w:rsidR="00A34EAB" w14:paraId="63DBADAB" w14:textId="77777777" w:rsidTr="00F41E2A">
        <w:tc>
          <w:tcPr>
            <w:tcW w:w="9016" w:type="dxa"/>
            <w:gridSpan w:val="3"/>
            <w:shd w:val="clear" w:color="auto" w:fill="A6A6A6" w:themeFill="background1" w:themeFillShade="A6"/>
          </w:tcPr>
          <w:p w14:paraId="53685041" w14:textId="77777777" w:rsidR="00A34EAB" w:rsidRDefault="00A34EAB" w:rsidP="00F41E2A">
            <w:pPr>
              <w:rPr>
                <w:b/>
                <w:bCs/>
                <w:lang w:val="en-US"/>
              </w:rPr>
            </w:pPr>
          </w:p>
        </w:tc>
      </w:tr>
      <w:tr w:rsidR="00A34EAB" w14:paraId="3B52EF65" w14:textId="77777777" w:rsidTr="00F41E2A">
        <w:tc>
          <w:tcPr>
            <w:tcW w:w="988" w:type="dxa"/>
          </w:tcPr>
          <w:p w14:paraId="7DA27413" w14:textId="77777777" w:rsidR="00A34EAB" w:rsidRDefault="00A34EAB" w:rsidP="00F41E2A">
            <w:pPr>
              <w:rPr>
                <w:b/>
                <w:bCs/>
                <w:lang w:val="en-US"/>
              </w:rPr>
            </w:pPr>
            <w:r>
              <w:rPr>
                <w:b/>
                <w:bCs/>
                <w:lang w:val="en-US"/>
              </w:rPr>
              <w:t>2.</w:t>
            </w:r>
          </w:p>
        </w:tc>
        <w:tc>
          <w:tcPr>
            <w:tcW w:w="850" w:type="dxa"/>
          </w:tcPr>
          <w:p w14:paraId="5C4BFFE0" w14:textId="77777777" w:rsidR="00A34EAB" w:rsidRDefault="00A34EAB" w:rsidP="00F41E2A">
            <w:pPr>
              <w:rPr>
                <w:b/>
                <w:bCs/>
                <w:lang w:val="en-US"/>
              </w:rPr>
            </w:pPr>
          </w:p>
        </w:tc>
        <w:tc>
          <w:tcPr>
            <w:tcW w:w="7178" w:type="dxa"/>
          </w:tcPr>
          <w:p w14:paraId="6AA421B1" w14:textId="77777777" w:rsidR="00A34EAB" w:rsidRPr="00FE4DA9" w:rsidRDefault="00A34EAB" w:rsidP="00F41E2A">
            <w:pPr>
              <w:rPr>
                <w:b/>
                <w:bCs/>
                <w:lang w:val="en-US"/>
              </w:rPr>
            </w:pPr>
            <w:r w:rsidRPr="00FE4DA9">
              <w:rPr>
                <w:b/>
                <w:bCs/>
                <w:lang w:val="en-US"/>
              </w:rPr>
              <w:t>Occupational Health Reports</w:t>
            </w:r>
          </w:p>
          <w:p w14:paraId="35AD8407" w14:textId="05341AD7" w:rsidR="00A34EAB" w:rsidRDefault="00A34EAB" w:rsidP="00F41E2A">
            <w:pPr>
              <w:rPr>
                <w:lang w:val="en-US"/>
              </w:rPr>
            </w:pPr>
            <w:r w:rsidRPr="00FE4DA9">
              <w:rPr>
                <w:lang w:val="en-US"/>
              </w:rPr>
              <w:t xml:space="preserve">It is reasonable for </w:t>
            </w:r>
            <w:r>
              <w:rPr>
                <w:lang w:val="en-US"/>
              </w:rPr>
              <w:t xml:space="preserve">new line managers to be aware of recent health issues, particularly when it involves reasonable adjustments. Therefore new line managers should be given access to Occupational Health recommendations from the period of </w:t>
            </w:r>
            <w:r w:rsidR="00C378A7">
              <w:rPr>
                <w:lang w:val="en-US"/>
              </w:rPr>
              <w:t>1 year</w:t>
            </w:r>
            <w:r>
              <w:rPr>
                <w:lang w:val="en-US"/>
              </w:rPr>
              <w:t xml:space="preserve"> prior to date of transfer. </w:t>
            </w:r>
          </w:p>
          <w:p w14:paraId="0C294710" w14:textId="77777777" w:rsidR="004D08A4" w:rsidRDefault="004D08A4" w:rsidP="00F41E2A">
            <w:pPr>
              <w:rPr>
                <w:lang w:val="en-US"/>
              </w:rPr>
            </w:pPr>
          </w:p>
          <w:p w14:paraId="5CAEDCA1" w14:textId="77777777" w:rsidR="00A34EAB" w:rsidRDefault="00A34EAB" w:rsidP="002C119B">
            <w:pPr>
              <w:rPr>
                <w:b/>
                <w:bCs/>
                <w:lang w:val="en-US"/>
              </w:rPr>
            </w:pPr>
          </w:p>
        </w:tc>
      </w:tr>
      <w:tr w:rsidR="00A34EAB" w14:paraId="39EB7599" w14:textId="77777777" w:rsidTr="00F41E2A">
        <w:tc>
          <w:tcPr>
            <w:tcW w:w="9016" w:type="dxa"/>
            <w:gridSpan w:val="3"/>
            <w:shd w:val="clear" w:color="auto" w:fill="A6A6A6" w:themeFill="background1" w:themeFillShade="A6"/>
          </w:tcPr>
          <w:p w14:paraId="77B6C689" w14:textId="77777777" w:rsidR="00A34EAB" w:rsidRDefault="00A34EAB" w:rsidP="00F41E2A">
            <w:pPr>
              <w:rPr>
                <w:b/>
                <w:bCs/>
                <w:lang w:val="en-US"/>
              </w:rPr>
            </w:pPr>
          </w:p>
        </w:tc>
      </w:tr>
      <w:tr w:rsidR="00A34EAB" w14:paraId="036DA29B" w14:textId="77777777" w:rsidTr="00F41E2A">
        <w:tc>
          <w:tcPr>
            <w:tcW w:w="988" w:type="dxa"/>
          </w:tcPr>
          <w:p w14:paraId="190B43EE" w14:textId="77777777" w:rsidR="00A34EAB" w:rsidRDefault="00A34EAB" w:rsidP="00F41E2A">
            <w:pPr>
              <w:rPr>
                <w:b/>
                <w:bCs/>
                <w:lang w:val="en-US"/>
              </w:rPr>
            </w:pPr>
            <w:r>
              <w:rPr>
                <w:b/>
                <w:bCs/>
                <w:lang w:val="en-US"/>
              </w:rPr>
              <w:t xml:space="preserve">3. </w:t>
            </w:r>
          </w:p>
        </w:tc>
        <w:tc>
          <w:tcPr>
            <w:tcW w:w="850" w:type="dxa"/>
          </w:tcPr>
          <w:p w14:paraId="6039B0AA" w14:textId="77777777" w:rsidR="00A34EAB" w:rsidRDefault="00A34EAB" w:rsidP="00F41E2A">
            <w:pPr>
              <w:rPr>
                <w:b/>
                <w:bCs/>
                <w:lang w:val="en-US"/>
              </w:rPr>
            </w:pPr>
          </w:p>
        </w:tc>
        <w:tc>
          <w:tcPr>
            <w:tcW w:w="7178" w:type="dxa"/>
          </w:tcPr>
          <w:p w14:paraId="203B543C" w14:textId="77777777" w:rsidR="00A34EAB" w:rsidRPr="003C5CB9" w:rsidRDefault="00A34EAB" w:rsidP="00F41E2A">
            <w:pPr>
              <w:rPr>
                <w:b/>
                <w:bCs/>
                <w:lang w:val="en-US"/>
              </w:rPr>
            </w:pPr>
            <w:r w:rsidRPr="003C5CB9">
              <w:rPr>
                <w:b/>
                <w:bCs/>
                <w:lang w:val="en-US"/>
              </w:rPr>
              <w:t>Wellness action plans/Reasonable Adjustment plans.</w:t>
            </w:r>
          </w:p>
          <w:p w14:paraId="1F1B398C" w14:textId="29789875" w:rsidR="00A34EAB" w:rsidRDefault="00A34EAB" w:rsidP="00F41E2A">
            <w:pPr>
              <w:rPr>
                <w:lang w:val="en-US"/>
              </w:rPr>
            </w:pPr>
            <w:r>
              <w:rPr>
                <w:lang w:val="en-US"/>
              </w:rPr>
              <w:t xml:space="preserve">New line managers should be given access to Wellness action plans  and Reasonable Adjustment plans from the period of </w:t>
            </w:r>
            <w:r w:rsidR="00C378A7">
              <w:rPr>
                <w:lang w:val="en-US"/>
              </w:rPr>
              <w:t>1</w:t>
            </w:r>
            <w:r>
              <w:rPr>
                <w:lang w:val="en-US"/>
              </w:rPr>
              <w:t xml:space="preserve"> year</w:t>
            </w:r>
            <w:r w:rsidR="00C378A7">
              <w:rPr>
                <w:lang w:val="en-US"/>
              </w:rPr>
              <w:t xml:space="preserve"> </w:t>
            </w:r>
            <w:r>
              <w:rPr>
                <w:lang w:val="en-US"/>
              </w:rPr>
              <w:t>prior to date of transfer.</w:t>
            </w:r>
          </w:p>
          <w:p w14:paraId="727B68BA" w14:textId="77777777" w:rsidR="00A34EAB" w:rsidRDefault="00A34EAB" w:rsidP="00F41E2A">
            <w:pPr>
              <w:rPr>
                <w:b/>
                <w:bCs/>
                <w:lang w:val="en-US"/>
              </w:rPr>
            </w:pPr>
          </w:p>
        </w:tc>
      </w:tr>
      <w:tr w:rsidR="00A34EAB" w14:paraId="3459854B" w14:textId="77777777" w:rsidTr="00F41E2A">
        <w:tc>
          <w:tcPr>
            <w:tcW w:w="988" w:type="dxa"/>
            <w:shd w:val="clear" w:color="auto" w:fill="A6A6A6" w:themeFill="background1" w:themeFillShade="A6"/>
          </w:tcPr>
          <w:p w14:paraId="2003D1AD" w14:textId="77777777" w:rsidR="00A34EAB" w:rsidRDefault="00A34EAB" w:rsidP="00F41E2A">
            <w:pPr>
              <w:rPr>
                <w:b/>
                <w:bCs/>
                <w:lang w:val="en-US"/>
              </w:rPr>
            </w:pPr>
          </w:p>
        </w:tc>
        <w:tc>
          <w:tcPr>
            <w:tcW w:w="850" w:type="dxa"/>
            <w:shd w:val="clear" w:color="auto" w:fill="A6A6A6" w:themeFill="background1" w:themeFillShade="A6"/>
          </w:tcPr>
          <w:p w14:paraId="4D8FAA9F" w14:textId="77777777" w:rsidR="00A34EAB" w:rsidRDefault="00A34EAB" w:rsidP="00F41E2A">
            <w:pPr>
              <w:rPr>
                <w:b/>
                <w:bCs/>
                <w:lang w:val="en-US"/>
              </w:rPr>
            </w:pPr>
          </w:p>
        </w:tc>
        <w:tc>
          <w:tcPr>
            <w:tcW w:w="7178" w:type="dxa"/>
            <w:shd w:val="clear" w:color="auto" w:fill="A6A6A6" w:themeFill="background1" w:themeFillShade="A6"/>
          </w:tcPr>
          <w:p w14:paraId="1B916843" w14:textId="77777777" w:rsidR="00A34EAB" w:rsidRPr="003C5CB9" w:rsidRDefault="00A34EAB" w:rsidP="00F41E2A">
            <w:pPr>
              <w:rPr>
                <w:b/>
                <w:bCs/>
                <w:lang w:val="en-US"/>
              </w:rPr>
            </w:pPr>
          </w:p>
        </w:tc>
      </w:tr>
      <w:tr w:rsidR="00A34EAB" w14:paraId="27951278" w14:textId="77777777" w:rsidTr="00F41E2A">
        <w:tc>
          <w:tcPr>
            <w:tcW w:w="988" w:type="dxa"/>
          </w:tcPr>
          <w:p w14:paraId="695B5580" w14:textId="77777777" w:rsidR="00A34EAB" w:rsidRDefault="00A34EAB" w:rsidP="00F41E2A">
            <w:pPr>
              <w:rPr>
                <w:b/>
                <w:bCs/>
                <w:lang w:val="en-US"/>
              </w:rPr>
            </w:pPr>
            <w:r>
              <w:rPr>
                <w:b/>
                <w:bCs/>
                <w:lang w:val="en-US"/>
              </w:rPr>
              <w:t xml:space="preserve">4. </w:t>
            </w:r>
          </w:p>
        </w:tc>
        <w:tc>
          <w:tcPr>
            <w:tcW w:w="850" w:type="dxa"/>
          </w:tcPr>
          <w:p w14:paraId="6FEC05BC" w14:textId="77777777" w:rsidR="00A34EAB" w:rsidRDefault="00A34EAB" w:rsidP="00F41E2A">
            <w:pPr>
              <w:rPr>
                <w:b/>
                <w:bCs/>
                <w:lang w:val="en-US"/>
              </w:rPr>
            </w:pPr>
          </w:p>
        </w:tc>
        <w:tc>
          <w:tcPr>
            <w:tcW w:w="7178" w:type="dxa"/>
          </w:tcPr>
          <w:p w14:paraId="4CA4EF43" w14:textId="77777777" w:rsidR="00A34EAB" w:rsidRPr="00E109D1" w:rsidRDefault="00A34EAB" w:rsidP="00F41E2A">
            <w:pPr>
              <w:rPr>
                <w:b/>
                <w:bCs/>
                <w:lang w:val="en-US"/>
              </w:rPr>
            </w:pPr>
            <w:r w:rsidRPr="00E109D1">
              <w:rPr>
                <w:b/>
                <w:bCs/>
                <w:lang w:val="en-US"/>
              </w:rPr>
              <w:t xml:space="preserve">Live conduct or capability warnings. </w:t>
            </w:r>
          </w:p>
          <w:p w14:paraId="6E7BC1D1" w14:textId="3482DC52" w:rsidR="00A34EAB" w:rsidRDefault="00A34EAB" w:rsidP="00F41E2A">
            <w:pPr>
              <w:rPr>
                <w:lang w:val="en-US"/>
              </w:rPr>
            </w:pPr>
            <w:r>
              <w:rPr>
                <w:lang w:val="en-US"/>
              </w:rPr>
              <w:t>Line managers should have access to live conduct and capability warnings. With regards to formal capability procedures</w:t>
            </w:r>
            <w:r w:rsidR="005F40CD">
              <w:rPr>
                <w:lang w:val="en-US"/>
              </w:rPr>
              <w:t>,</w:t>
            </w:r>
            <w:r>
              <w:rPr>
                <w:lang w:val="en-US"/>
              </w:rPr>
              <w:t xml:space="preserve"> however, line managers should also have access to all relevant paperwork that led to the warning itself, e.g. Performance Improvement Plans, Occupational Health Reports, Sickness reports. </w:t>
            </w:r>
          </w:p>
          <w:p w14:paraId="1CC75F05" w14:textId="77777777" w:rsidR="00A34EAB" w:rsidRPr="003C5CB9" w:rsidRDefault="00A34EAB" w:rsidP="00F41E2A">
            <w:pPr>
              <w:rPr>
                <w:b/>
                <w:bCs/>
                <w:lang w:val="en-US"/>
              </w:rPr>
            </w:pPr>
          </w:p>
        </w:tc>
      </w:tr>
      <w:tr w:rsidR="00B76265" w14:paraId="5CBF1954" w14:textId="77777777" w:rsidTr="00F41E2A">
        <w:tc>
          <w:tcPr>
            <w:tcW w:w="988" w:type="dxa"/>
          </w:tcPr>
          <w:p w14:paraId="6ADCFD6E" w14:textId="4BF2DDA4" w:rsidR="00B76265" w:rsidRDefault="00B76265" w:rsidP="00F41E2A">
            <w:pPr>
              <w:rPr>
                <w:b/>
                <w:bCs/>
                <w:lang w:val="en-US"/>
              </w:rPr>
            </w:pPr>
          </w:p>
        </w:tc>
        <w:tc>
          <w:tcPr>
            <w:tcW w:w="850" w:type="dxa"/>
          </w:tcPr>
          <w:p w14:paraId="3AF34698" w14:textId="77777777" w:rsidR="00B76265" w:rsidRDefault="00B76265" w:rsidP="00F41E2A">
            <w:pPr>
              <w:rPr>
                <w:b/>
                <w:bCs/>
                <w:lang w:val="en-US"/>
              </w:rPr>
            </w:pPr>
          </w:p>
        </w:tc>
        <w:tc>
          <w:tcPr>
            <w:tcW w:w="7178" w:type="dxa"/>
          </w:tcPr>
          <w:p w14:paraId="4F86FFF6" w14:textId="493A665A" w:rsidR="00B76265" w:rsidRPr="00C378A7" w:rsidRDefault="00147F63" w:rsidP="00F41E2A">
            <w:pPr>
              <w:rPr>
                <w:lang w:val="en-US"/>
              </w:rPr>
            </w:pPr>
            <w:r>
              <w:rPr>
                <w:b/>
                <w:bCs/>
                <w:lang w:val="en-US"/>
              </w:rPr>
              <w:t>Informal discussion record on conduct or capability issues</w:t>
            </w:r>
            <w:r w:rsidR="00C378A7">
              <w:rPr>
                <w:b/>
                <w:bCs/>
                <w:lang w:val="en-US"/>
              </w:rPr>
              <w:t xml:space="preserve"> – </w:t>
            </w:r>
            <w:r w:rsidR="00C378A7">
              <w:rPr>
                <w:lang w:val="en-US"/>
              </w:rPr>
              <w:t xml:space="preserve">Line Managers should have access to any informal notes </w:t>
            </w:r>
            <w:r w:rsidR="00376AB7">
              <w:rPr>
                <w:lang w:val="en-US"/>
              </w:rPr>
              <w:t xml:space="preserve">within the last </w:t>
            </w:r>
            <w:r w:rsidR="005F40CD">
              <w:rPr>
                <w:lang w:val="en-US"/>
              </w:rPr>
              <w:t>1 year.</w:t>
            </w:r>
            <w:r w:rsidR="00376AB7">
              <w:rPr>
                <w:lang w:val="en-US"/>
              </w:rPr>
              <w:t xml:space="preserve"> </w:t>
            </w:r>
          </w:p>
          <w:p w14:paraId="21E802C6" w14:textId="08820504" w:rsidR="00147F63" w:rsidRPr="00E109D1" w:rsidRDefault="00147F63" w:rsidP="00F41E2A">
            <w:pPr>
              <w:rPr>
                <w:b/>
                <w:bCs/>
                <w:lang w:val="en-US"/>
              </w:rPr>
            </w:pPr>
          </w:p>
        </w:tc>
      </w:tr>
      <w:tr w:rsidR="00A34EAB" w14:paraId="13FFD3A7" w14:textId="77777777" w:rsidTr="00F41E2A">
        <w:tc>
          <w:tcPr>
            <w:tcW w:w="9016" w:type="dxa"/>
            <w:gridSpan w:val="3"/>
            <w:shd w:val="clear" w:color="auto" w:fill="A6A6A6" w:themeFill="background1" w:themeFillShade="A6"/>
          </w:tcPr>
          <w:p w14:paraId="1CF23C4B" w14:textId="77777777" w:rsidR="00A34EAB" w:rsidRPr="00E109D1" w:rsidRDefault="00A34EAB" w:rsidP="00F41E2A">
            <w:pPr>
              <w:rPr>
                <w:b/>
                <w:bCs/>
                <w:lang w:val="en-US"/>
              </w:rPr>
            </w:pPr>
          </w:p>
        </w:tc>
      </w:tr>
      <w:tr w:rsidR="00A34EAB" w14:paraId="000D7594" w14:textId="77777777" w:rsidTr="00F41E2A">
        <w:tc>
          <w:tcPr>
            <w:tcW w:w="988" w:type="dxa"/>
          </w:tcPr>
          <w:p w14:paraId="58676F4E" w14:textId="77777777" w:rsidR="00A34EAB" w:rsidRDefault="00A34EAB" w:rsidP="00F41E2A">
            <w:pPr>
              <w:rPr>
                <w:b/>
                <w:bCs/>
                <w:lang w:val="en-US"/>
              </w:rPr>
            </w:pPr>
            <w:r>
              <w:rPr>
                <w:b/>
                <w:bCs/>
                <w:lang w:val="en-US"/>
              </w:rPr>
              <w:t xml:space="preserve">5. </w:t>
            </w:r>
          </w:p>
        </w:tc>
        <w:tc>
          <w:tcPr>
            <w:tcW w:w="850" w:type="dxa"/>
          </w:tcPr>
          <w:p w14:paraId="1325E1AC" w14:textId="77777777" w:rsidR="00A34EAB" w:rsidRDefault="00A34EAB" w:rsidP="00F41E2A">
            <w:pPr>
              <w:rPr>
                <w:b/>
                <w:bCs/>
                <w:lang w:val="en-US"/>
              </w:rPr>
            </w:pPr>
          </w:p>
        </w:tc>
        <w:tc>
          <w:tcPr>
            <w:tcW w:w="7178" w:type="dxa"/>
          </w:tcPr>
          <w:p w14:paraId="2F4F5143" w14:textId="77777777" w:rsidR="00A34EAB" w:rsidRPr="00D737BD" w:rsidRDefault="00A34EAB" w:rsidP="00F41E2A">
            <w:pPr>
              <w:rPr>
                <w:b/>
                <w:bCs/>
                <w:lang w:val="en-US"/>
              </w:rPr>
            </w:pPr>
            <w:r w:rsidRPr="00D737BD">
              <w:rPr>
                <w:b/>
                <w:bCs/>
                <w:lang w:val="en-US"/>
              </w:rPr>
              <w:t>One to One documentation</w:t>
            </w:r>
          </w:p>
          <w:p w14:paraId="10ED3FA6" w14:textId="22B8B095" w:rsidR="00A34EAB" w:rsidRDefault="00A34EAB" w:rsidP="00F41E2A">
            <w:pPr>
              <w:rPr>
                <w:lang w:val="en-US"/>
              </w:rPr>
            </w:pPr>
            <w:r>
              <w:rPr>
                <w:lang w:val="en-US"/>
              </w:rPr>
              <w:t xml:space="preserve">A new line manager should ideally have access to </w:t>
            </w:r>
            <w:r w:rsidR="005F40CD">
              <w:rPr>
                <w:lang w:val="en-US"/>
              </w:rPr>
              <w:t>one-to-one</w:t>
            </w:r>
            <w:r>
              <w:rPr>
                <w:lang w:val="en-US"/>
              </w:rPr>
              <w:t xml:space="preserve"> documentation for 3 months prior to the transfer. This will allow the line manager to be aware of any present </w:t>
            </w:r>
            <w:r w:rsidR="005F40CD">
              <w:rPr>
                <w:lang w:val="en-US"/>
              </w:rPr>
              <w:t>non-role-related</w:t>
            </w:r>
            <w:r>
              <w:rPr>
                <w:lang w:val="en-US"/>
              </w:rPr>
              <w:t xml:space="preserve"> issues that are affecting the employee. </w:t>
            </w:r>
          </w:p>
          <w:p w14:paraId="78AF81A4" w14:textId="77777777" w:rsidR="00A34EAB" w:rsidRPr="00E109D1" w:rsidRDefault="00A34EAB" w:rsidP="00F41E2A">
            <w:pPr>
              <w:rPr>
                <w:b/>
                <w:bCs/>
                <w:lang w:val="en-US"/>
              </w:rPr>
            </w:pPr>
          </w:p>
        </w:tc>
      </w:tr>
      <w:tr w:rsidR="006C2593" w14:paraId="741D520C" w14:textId="77777777" w:rsidTr="006C2593">
        <w:tc>
          <w:tcPr>
            <w:tcW w:w="9016" w:type="dxa"/>
            <w:gridSpan w:val="3"/>
            <w:shd w:val="clear" w:color="auto" w:fill="A6A6A6" w:themeFill="background1" w:themeFillShade="A6"/>
          </w:tcPr>
          <w:p w14:paraId="0041B730" w14:textId="77777777" w:rsidR="006C2593" w:rsidRPr="00D737BD" w:rsidRDefault="006C2593" w:rsidP="00F41E2A">
            <w:pPr>
              <w:rPr>
                <w:b/>
                <w:bCs/>
                <w:lang w:val="en-US"/>
              </w:rPr>
            </w:pPr>
          </w:p>
        </w:tc>
      </w:tr>
      <w:tr w:rsidR="006C2593" w14:paraId="7667E13A" w14:textId="77777777" w:rsidTr="00F41E2A">
        <w:tc>
          <w:tcPr>
            <w:tcW w:w="988" w:type="dxa"/>
          </w:tcPr>
          <w:p w14:paraId="04BE916D" w14:textId="4470467D" w:rsidR="006C2593" w:rsidRDefault="006C2593" w:rsidP="00F41E2A">
            <w:pPr>
              <w:rPr>
                <w:b/>
                <w:bCs/>
                <w:lang w:val="en-US"/>
              </w:rPr>
            </w:pPr>
            <w:r>
              <w:rPr>
                <w:b/>
                <w:bCs/>
                <w:lang w:val="en-US"/>
              </w:rPr>
              <w:t xml:space="preserve">6. </w:t>
            </w:r>
          </w:p>
        </w:tc>
        <w:tc>
          <w:tcPr>
            <w:tcW w:w="850" w:type="dxa"/>
          </w:tcPr>
          <w:p w14:paraId="1DDDB5C7" w14:textId="77777777" w:rsidR="006C2593" w:rsidRDefault="006C2593" w:rsidP="00F41E2A">
            <w:pPr>
              <w:rPr>
                <w:b/>
                <w:bCs/>
                <w:lang w:val="en-US"/>
              </w:rPr>
            </w:pPr>
          </w:p>
        </w:tc>
        <w:tc>
          <w:tcPr>
            <w:tcW w:w="7178" w:type="dxa"/>
          </w:tcPr>
          <w:p w14:paraId="09F9A264" w14:textId="77777777" w:rsidR="006C2593" w:rsidRDefault="006C2593" w:rsidP="000F1F8D">
            <w:pPr>
              <w:rPr>
                <w:b/>
                <w:bCs/>
                <w:lang w:val="en-US"/>
              </w:rPr>
            </w:pPr>
            <w:r>
              <w:rPr>
                <w:b/>
                <w:bCs/>
                <w:lang w:val="en-US"/>
              </w:rPr>
              <w:t>I</w:t>
            </w:r>
            <w:r w:rsidR="000F1F8D">
              <w:rPr>
                <w:b/>
                <w:bCs/>
                <w:lang w:val="en-US"/>
              </w:rPr>
              <w:t>SR documentation</w:t>
            </w:r>
          </w:p>
          <w:p w14:paraId="11106707" w14:textId="77777777" w:rsidR="000F1F8D" w:rsidRDefault="000F1F8D" w:rsidP="000F1F8D">
            <w:pPr>
              <w:rPr>
                <w:b/>
                <w:bCs/>
                <w:lang w:val="en-US"/>
              </w:rPr>
            </w:pPr>
          </w:p>
          <w:p w14:paraId="5D934917" w14:textId="0B98FC62" w:rsidR="000F1F8D" w:rsidRPr="000F1F8D" w:rsidRDefault="000F1F8D" w:rsidP="000F1F8D">
            <w:pPr>
              <w:rPr>
                <w:lang w:val="en-US"/>
              </w:rPr>
            </w:pPr>
            <w:r>
              <w:rPr>
                <w:lang w:val="en-US"/>
              </w:rPr>
              <w:lastRenderedPageBreak/>
              <w:t xml:space="preserve">If a line manager transfers during their ISR period, the new line manager should </w:t>
            </w:r>
            <w:r w:rsidR="005901A8">
              <w:rPr>
                <w:lang w:val="en-US"/>
              </w:rPr>
              <w:t>be made aware by the previous line manager of the induction that took place and any record</w:t>
            </w:r>
            <w:r w:rsidR="00C67830">
              <w:rPr>
                <w:lang w:val="en-US"/>
              </w:rPr>
              <w:t xml:space="preserve">s of ISR meetings, informal or formal. The new line manager has the authority </w:t>
            </w:r>
            <w:r w:rsidR="00F4519B">
              <w:rPr>
                <w:lang w:val="en-US"/>
              </w:rPr>
              <w:t xml:space="preserve">to consider whether the ISR should continue as normal or whether a new ISR is required. This decision will be based on </w:t>
            </w:r>
            <w:r w:rsidR="00C231BD">
              <w:rPr>
                <w:lang w:val="en-US"/>
              </w:rPr>
              <w:t xml:space="preserve">how </w:t>
            </w:r>
            <w:r w:rsidR="00F4519B">
              <w:rPr>
                <w:lang w:val="en-US"/>
              </w:rPr>
              <w:t xml:space="preserve">similar the new role is to the previous one </w:t>
            </w:r>
            <w:r w:rsidR="00C231BD">
              <w:rPr>
                <w:lang w:val="en-US"/>
              </w:rPr>
              <w:t xml:space="preserve">and will be discussed with the local HRBP before the decision is taken. </w:t>
            </w:r>
          </w:p>
        </w:tc>
      </w:tr>
      <w:tr w:rsidR="00A34EAB" w14:paraId="6B7B1AC7" w14:textId="77777777" w:rsidTr="00F41E2A">
        <w:tc>
          <w:tcPr>
            <w:tcW w:w="9016" w:type="dxa"/>
            <w:gridSpan w:val="3"/>
            <w:shd w:val="clear" w:color="auto" w:fill="A6A6A6" w:themeFill="background1" w:themeFillShade="A6"/>
          </w:tcPr>
          <w:p w14:paraId="1F647221" w14:textId="77777777" w:rsidR="00A34EAB" w:rsidRPr="00D737BD" w:rsidRDefault="00A34EAB" w:rsidP="00F41E2A">
            <w:pPr>
              <w:rPr>
                <w:b/>
                <w:bCs/>
                <w:lang w:val="en-US"/>
              </w:rPr>
            </w:pPr>
          </w:p>
        </w:tc>
      </w:tr>
      <w:tr w:rsidR="00A34EAB" w14:paraId="0E5FB4A1" w14:textId="77777777" w:rsidTr="00F41E2A">
        <w:tc>
          <w:tcPr>
            <w:tcW w:w="988" w:type="dxa"/>
          </w:tcPr>
          <w:p w14:paraId="6CBF3402" w14:textId="77777777" w:rsidR="00A34EAB" w:rsidRDefault="00A34EAB" w:rsidP="00F41E2A">
            <w:pPr>
              <w:rPr>
                <w:b/>
                <w:bCs/>
                <w:lang w:val="en-US"/>
              </w:rPr>
            </w:pPr>
            <w:r>
              <w:rPr>
                <w:b/>
                <w:bCs/>
                <w:lang w:val="en-US"/>
              </w:rPr>
              <w:t>6.</w:t>
            </w:r>
          </w:p>
        </w:tc>
        <w:tc>
          <w:tcPr>
            <w:tcW w:w="850" w:type="dxa"/>
          </w:tcPr>
          <w:p w14:paraId="7E3B2A55" w14:textId="77777777" w:rsidR="00A34EAB" w:rsidRDefault="00A34EAB" w:rsidP="00F41E2A">
            <w:pPr>
              <w:rPr>
                <w:b/>
                <w:bCs/>
                <w:lang w:val="en-US"/>
              </w:rPr>
            </w:pPr>
          </w:p>
        </w:tc>
        <w:tc>
          <w:tcPr>
            <w:tcW w:w="7178" w:type="dxa"/>
          </w:tcPr>
          <w:p w14:paraId="3ED3F797" w14:textId="77777777" w:rsidR="00A34EAB" w:rsidRPr="00351E92" w:rsidRDefault="00A34EAB" w:rsidP="00F41E2A">
            <w:pPr>
              <w:rPr>
                <w:b/>
                <w:bCs/>
                <w:lang w:val="en-US"/>
              </w:rPr>
            </w:pPr>
            <w:r w:rsidRPr="00351E92">
              <w:rPr>
                <w:b/>
                <w:bCs/>
                <w:lang w:val="en-US"/>
              </w:rPr>
              <w:t>Annual Leave</w:t>
            </w:r>
          </w:p>
          <w:p w14:paraId="64CE274E" w14:textId="6A55933D" w:rsidR="00A34EAB" w:rsidRDefault="00A34EAB" w:rsidP="00F41E2A">
            <w:pPr>
              <w:rPr>
                <w:lang w:val="en-US"/>
              </w:rPr>
            </w:pPr>
            <w:r>
              <w:rPr>
                <w:lang w:val="en-US"/>
              </w:rPr>
              <w:t xml:space="preserve">If an employee has annual leave booked prior to transfer, they should make the new line manager aware of this as soon as possible.  In most circumstances, the leave will be </w:t>
            </w:r>
            <w:proofErr w:type="spellStart"/>
            <w:r>
              <w:rPr>
                <w:lang w:val="en-US"/>
              </w:rPr>
              <w:t>honoured</w:t>
            </w:r>
            <w:proofErr w:type="spellEnd"/>
            <w:r>
              <w:rPr>
                <w:lang w:val="en-US"/>
              </w:rPr>
              <w:t xml:space="preserve"> but if there are operational reasons for the leave to be </w:t>
            </w:r>
            <w:r w:rsidR="00E05B10">
              <w:rPr>
                <w:lang w:val="en-US"/>
              </w:rPr>
              <w:t>canceled</w:t>
            </w:r>
            <w:r>
              <w:rPr>
                <w:lang w:val="en-US"/>
              </w:rPr>
              <w:t>, then the new line manager will give appropriate notice.</w:t>
            </w:r>
            <w:r w:rsidR="007E01A5">
              <w:rPr>
                <w:lang w:val="en-US"/>
              </w:rPr>
              <w:t xml:space="preserve"> Notice would normally be double the amount of leave being asked so if the employee has two weeks booked, they should receive 4 </w:t>
            </w:r>
            <w:proofErr w:type="spellStart"/>
            <w:r w:rsidR="007E01A5">
              <w:rPr>
                <w:lang w:val="en-US"/>
              </w:rPr>
              <w:t xml:space="preserve">weeks </w:t>
            </w:r>
            <w:r w:rsidR="00A1018E">
              <w:rPr>
                <w:lang w:val="en-US"/>
              </w:rPr>
              <w:t>notice</w:t>
            </w:r>
            <w:proofErr w:type="spellEnd"/>
            <w:r w:rsidR="006C2593">
              <w:rPr>
                <w:lang w:val="en-US"/>
              </w:rPr>
              <w:t xml:space="preserve"> of cancellation</w:t>
            </w:r>
            <w:r w:rsidR="00A1018E">
              <w:rPr>
                <w:lang w:val="en-US"/>
              </w:rPr>
              <w:t xml:space="preserve">. </w:t>
            </w:r>
            <w:r>
              <w:rPr>
                <w:lang w:val="en-US"/>
              </w:rPr>
              <w:t xml:space="preserve"> </w:t>
            </w:r>
          </w:p>
          <w:p w14:paraId="53C6D82A" w14:textId="77777777" w:rsidR="00A34EAB" w:rsidRPr="00E109D1" w:rsidRDefault="00A34EAB" w:rsidP="00F41E2A">
            <w:pPr>
              <w:rPr>
                <w:b/>
                <w:bCs/>
                <w:lang w:val="en-US"/>
              </w:rPr>
            </w:pPr>
          </w:p>
        </w:tc>
      </w:tr>
      <w:tr w:rsidR="00A34EAB" w14:paraId="2AE73C2C" w14:textId="77777777" w:rsidTr="00F41E2A">
        <w:tc>
          <w:tcPr>
            <w:tcW w:w="9016" w:type="dxa"/>
            <w:gridSpan w:val="3"/>
            <w:shd w:val="clear" w:color="auto" w:fill="A6A6A6" w:themeFill="background1" w:themeFillShade="A6"/>
          </w:tcPr>
          <w:p w14:paraId="08A13126" w14:textId="77777777" w:rsidR="00A34EAB" w:rsidRPr="00E109D1" w:rsidRDefault="00A34EAB" w:rsidP="00F41E2A">
            <w:pPr>
              <w:rPr>
                <w:b/>
                <w:bCs/>
                <w:lang w:val="en-US"/>
              </w:rPr>
            </w:pPr>
          </w:p>
        </w:tc>
      </w:tr>
      <w:tr w:rsidR="00A34EAB" w14:paraId="2B5C85AB" w14:textId="77777777" w:rsidTr="00F41E2A">
        <w:tc>
          <w:tcPr>
            <w:tcW w:w="988" w:type="dxa"/>
          </w:tcPr>
          <w:p w14:paraId="03FC34C3" w14:textId="77777777" w:rsidR="00A34EAB" w:rsidRDefault="00A34EAB" w:rsidP="00F41E2A">
            <w:pPr>
              <w:rPr>
                <w:b/>
                <w:bCs/>
                <w:lang w:val="en-US"/>
              </w:rPr>
            </w:pPr>
            <w:r>
              <w:rPr>
                <w:b/>
                <w:bCs/>
                <w:lang w:val="en-US"/>
              </w:rPr>
              <w:t>7.</w:t>
            </w:r>
          </w:p>
        </w:tc>
        <w:tc>
          <w:tcPr>
            <w:tcW w:w="850" w:type="dxa"/>
          </w:tcPr>
          <w:p w14:paraId="7D80C8F8" w14:textId="77777777" w:rsidR="00A34EAB" w:rsidRDefault="00A34EAB" w:rsidP="00F41E2A">
            <w:pPr>
              <w:rPr>
                <w:b/>
                <w:bCs/>
                <w:lang w:val="en-US"/>
              </w:rPr>
            </w:pPr>
          </w:p>
        </w:tc>
        <w:tc>
          <w:tcPr>
            <w:tcW w:w="7178" w:type="dxa"/>
          </w:tcPr>
          <w:p w14:paraId="50AAD1C5" w14:textId="4F5F00BC" w:rsidR="00A34EAB" w:rsidRPr="003737E3" w:rsidRDefault="003B6255" w:rsidP="00F41E2A">
            <w:pPr>
              <w:rPr>
                <w:b/>
                <w:bCs/>
                <w:lang w:val="en-US"/>
              </w:rPr>
            </w:pPr>
            <w:r>
              <w:rPr>
                <w:b/>
                <w:bCs/>
                <w:lang w:val="en-US"/>
              </w:rPr>
              <w:t>Development Reviews</w:t>
            </w:r>
          </w:p>
          <w:p w14:paraId="443E6030" w14:textId="1672B2C1" w:rsidR="00A34EAB" w:rsidRPr="003B6255" w:rsidRDefault="003B6255" w:rsidP="00F41E2A">
            <w:pPr>
              <w:rPr>
                <w:lang w:val="en-US"/>
              </w:rPr>
            </w:pPr>
            <w:r w:rsidRPr="003B6255">
              <w:rPr>
                <w:lang w:val="en-US"/>
              </w:rPr>
              <w:t xml:space="preserve">The line manager can ask their new staff member to share the PDF copy of their previous review. In </w:t>
            </w:r>
            <w:hyperlink r:id="rId6" w:history="1">
              <w:r w:rsidRPr="003B6255">
                <w:rPr>
                  <w:rStyle w:val="Hyperlink"/>
                  <w:lang w:val="en-US"/>
                </w:rPr>
                <w:t>Develop</w:t>
              </w:r>
            </w:hyperlink>
            <w:r w:rsidRPr="003B6255">
              <w:rPr>
                <w:lang w:val="en-US"/>
              </w:rPr>
              <w:t>, t</w:t>
            </w:r>
            <w:r w:rsidRPr="003B6255">
              <w:t>hey can use the 'Print' button in the top right corner of their form, to export it to PDF.</w:t>
            </w:r>
            <w:r w:rsidR="00A34EAB" w:rsidRPr="003B6255">
              <w:rPr>
                <w:lang w:val="en-US"/>
              </w:rPr>
              <w:t xml:space="preserve"> </w:t>
            </w:r>
          </w:p>
          <w:p w14:paraId="27FCE150" w14:textId="77777777" w:rsidR="00A34EAB" w:rsidRPr="00E109D1" w:rsidRDefault="00A34EAB" w:rsidP="00F41E2A">
            <w:pPr>
              <w:rPr>
                <w:b/>
                <w:bCs/>
                <w:lang w:val="en-US"/>
              </w:rPr>
            </w:pPr>
          </w:p>
        </w:tc>
      </w:tr>
      <w:tr w:rsidR="00A34EAB" w14:paraId="736B272D" w14:textId="77777777" w:rsidTr="00F41E2A">
        <w:tc>
          <w:tcPr>
            <w:tcW w:w="988" w:type="dxa"/>
            <w:shd w:val="clear" w:color="auto" w:fill="A6A6A6" w:themeFill="background1" w:themeFillShade="A6"/>
          </w:tcPr>
          <w:p w14:paraId="1780AF2A" w14:textId="77777777" w:rsidR="00A34EAB" w:rsidRDefault="00A34EAB" w:rsidP="00F41E2A">
            <w:pPr>
              <w:rPr>
                <w:b/>
                <w:bCs/>
                <w:lang w:val="en-US"/>
              </w:rPr>
            </w:pPr>
          </w:p>
        </w:tc>
        <w:tc>
          <w:tcPr>
            <w:tcW w:w="850" w:type="dxa"/>
            <w:shd w:val="clear" w:color="auto" w:fill="A6A6A6" w:themeFill="background1" w:themeFillShade="A6"/>
          </w:tcPr>
          <w:p w14:paraId="3ECCA105" w14:textId="77777777" w:rsidR="00A34EAB" w:rsidRDefault="00A34EAB" w:rsidP="00F41E2A">
            <w:pPr>
              <w:rPr>
                <w:b/>
                <w:bCs/>
                <w:lang w:val="en-US"/>
              </w:rPr>
            </w:pPr>
          </w:p>
        </w:tc>
        <w:tc>
          <w:tcPr>
            <w:tcW w:w="7178" w:type="dxa"/>
            <w:shd w:val="clear" w:color="auto" w:fill="A6A6A6" w:themeFill="background1" w:themeFillShade="A6"/>
          </w:tcPr>
          <w:p w14:paraId="4B4A1096" w14:textId="77777777" w:rsidR="00A34EAB" w:rsidRPr="003737E3" w:rsidRDefault="00A34EAB" w:rsidP="00F41E2A">
            <w:pPr>
              <w:rPr>
                <w:b/>
                <w:bCs/>
                <w:lang w:val="en-US"/>
              </w:rPr>
            </w:pPr>
          </w:p>
        </w:tc>
      </w:tr>
      <w:tr w:rsidR="00A34EAB" w14:paraId="63587A9E" w14:textId="77777777" w:rsidTr="00F41E2A">
        <w:tc>
          <w:tcPr>
            <w:tcW w:w="988" w:type="dxa"/>
          </w:tcPr>
          <w:p w14:paraId="70CADDA2" w14:textId="77777777" w:rsidR="00A34EAB" w:rsidRDefault="00A34EAB" w:rsidP="00F41E2A">
            <w:pPr>
              <w:rPr>
                <w:b/>
                <w:bCs/>
                <w:lang w:val="en-US"/>
              </w:rPr>
            </w:pPr>
            <w:r>
              <w:rPr>
                <w:b/>
                <w:bCs/>
                <w:lang w:val="en-US"/>
              </w:rPr>
              <w:t>8.</w:t>
            </w:r>
          </w:p>
        </w:tc>
        <w:tc>
          <w:tcPr>
            <w:tcW w:w="850" w:type="dxa"/>
          </w:tcPr>
          <w:p w14:paraId="31A58C75" w14:textId="77777777" w:rsidR="00A34EAB" w:rsidRDefault="00A34EAB" w:rsidP="00F41E2A">
            <w:pPr>
              <w:rPr>
                <w:b/>
                <w:bCs/>
                <w:lang w:val="en-US"/>
              </w:rPr>
            </w:pPr>
          </w:p>
        </w:tc>
        <w:tc>
          <w:tcPr>
            <w:tcW w:w="7178" w:type="dxa"/>
          </w:tcPr>
          <w:p w14:paraId="370A410B" w14:textId="77777777" w:rsidR="00A34EAB" w:rsidRPr="002E6780" w:rsidRDefault="00A34EAB" w:rsidP="00F41E2A">
            <w:pPr>
              <w:rPr>
                <w:b/>
                <w:bCs/>
                <w:lang w:val="en-US"/>
              </w:rPr>
            </w:pPr>
            <w:r w:rsidRPr="002E6780">
              <w:rPr>
                <w:b/>
                <w:bCs/>
                <w:lang w:val="en-US"/>
              </w:rPr>
              <w:t>RR2 review documentation</w:t>
            </w:r>
          </w:p>
          <w:p w14:paraId="1F6E02FD" w14:textId="77777777" w:rsidR="00A34EAB" w:rsidRDefault="00A34EAB" w:rsidP="00F41E2A">
            <w:pPr>
              <w:rPr>
                <w:lang w:val="en-US"/>
              </w:rPr>
            </w:pPr>
            <w:r>
              <w:rPr>
                <w:lang w:val="en-US"/>
              </w:rPr>
              <w:t xml:space="preserve">Records of live RR2 review periods and associate documentation should be transferred to the new line manager. </w:t>
            </w:r>
          </w:p>
          <w:p w14:paraId="5A755C08" w14:textId="77777777" w:rsidR="00A34EAB" w:rsidRPr="003737E3" w:rsidRDefault="00A34EAB" w:rsidP="00F41E2A">
            <w:pPr>
              <w:rPr>
                <w:b/>
                <w:bCs/>
                <w:lang w:val="en-US"/>
              </w:rPr>
            </w:pPr>
          </w:p>
        </w:tc>
      </w:tr>
      <w:tr w:rsidR="004358FB" w14:paraId="3DFF31DA" w14:textId="77777777" w:rsidTr="004358FB">
        <w:tc>
          <w:tcPr>
            <w:tcW w:w="988" w:type="dxa"/>
            <w:shd w:val="clear" w:color="auto" w:fill="A6A6A6" w:themeFill="background1" w:themeFillShade="A6"/>
          </w:tcPr>
          <w:p w14:paraId="2E38F411" w14:textId="77777777" w:rsidR="004358FB" w:rsidRDefault="004358FB" w:rsidP="00F41E2A">
            <w:pPr>
              <w:rPr>
                <w:b/>
                <w:bCs/>
                <w:lang w:val="en-US"/>
              </w:rPr>
            </w:pPr>
          </w:p>
        </w:tc>
        <w:tc>
          <w:tcPr>
            <w:tcW w:w="850" w:type="dxa"/>
            <w:shd w:val="clear" w:color="auto" w:fill="A6A6A6" w:themeFill="background1" w:themeFillShade="A6"/>
          </w:tcPr>
          <w:p w14:paraId="59F7F9AE" w14:textId="77777777" w:rsidR="004358FB" w:rsidRDefault="004358FB" w:rsidP="00F41E2A">
            <w:pPr>
              <w:rPr>
                <w:b/>
                <w:bCs/>
                <w:lang w:val="en-US"/>
              </w:rPr>
            </w:pPr>
          </w:p>
        </w:tc>
        <w:tc>
          <w:tcPr>
            <w:tcW w:w="7178" w:type="dxa"/>
            <w:shd w:val="clear" w:color="auto" w:fill="A6A6A6" w:themeFill="background1" w:themeFillShade="A6"/>
          </w:tcPr>
          <w:p w14:paraId="19326952" w14:textId="77777777" w:rsidR="004358FB" w:rsidRPr="002E6780" w:rsidRDefault="004358FB" w:rsidP="00F41E2A">
            <w:pPr>
              <w:rPr>
                <w:b/>
                <w:bCs/>
                <w:lang w:val="en-US"/>
              </w:rPr>
            </w:pPr>
          </w:p>
        </w:tc>
      </w:tr>
    </w:tbl>
    <w:p w14:paraId="311DA467" w14:textId="77777777" w:rsidR="00A34EAB" w:rsidRDefault="00A34EAB" w:rsidP="00A34EAB">
      <w:pPr>
        <w:rPr>
          <w:lang w:val="en-US"/>
        </w:rPr>
      </w:pPr>
    </w:p>
    <w:p w14:paraId="5938C3DB" w14:textId="77777777" w:rsidR="00A34EAB" w:rsidRPr="000B3E87" w:rsidRDefault="00A34EAB" w:rsidP="00A34EAB">
      <w:pPr>
        <w:rPr>
          <w:lang w:val="en-US"/>
        </w:rPr>
      </w:pPr>
    </w:p>
    <w:p w14:paraId="7EE96B42" w14:textId="77777777" w:rsidR="0007639C" w:rsidRPr="00A34EAB" w:rsidRDefault="0007639C">
      <w:pPr>
        <w:rPr>
          <w:lang w:val="en-US"/>
        </w:rPr>
      </w:pPr>
    </w:p>
    <w:sectPr w:rsidR="0007639C" w:rsidRPr="00A34EA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474BA" w14:textId="77777777" w:rsidR="0013628F" w:rsidRDefault="0013628F" w:rsidP="005B396C">
      <w:pPr>
        <w:spacing w:after="0" w:line="240" w:lineRule="auto"/>
      </w:pPr>
      <w:r>
        <w:separator/>
      </w:r>
    </w:p>
  </w:endnote>
  <w:endnote w:type="continuationSeparator" w:id="0">
    <w:p w14:paraId="3EB37479" w14:textId="77777777" w:rsidR="0013628F" w:rsidRDefault="0013628F" w:rsidP="005B3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60407" w14:textId="77777777" w:rsidR="0013628F" w:rsidRDefault="0013628F" w:rsidP="005B396C">
      <w:pPr>
        <w:spacing w:after="0" w:line="240" w:lineRule="auto"/>
      </w:pPr>
      <w:r>
        <w:separator/>
      </w:r>
    </w:p>
  </w:footnote>
  <w:footnote w:type="continuationSeparator" w:id="0">
    <w:p w14:paraId="30BAAE90" w14:textId="77777777" w:rsidR="0013628F" w:rsidRDefault="0013628F" w:rsidP="005B3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3AFEA" w14:textId="0E32DC96" w:rsidR="005B396C" w:rsidRPr="005B396C" w:rsidRDefault="005B396C">
    <w:pPr>
      <w:pStyle w:val="Header"/>
      <w:rPr>
        <w:lang w:val="en-US"/>
      </w:rPr>
    </w:pPr>
    <w:r>
      <w:rPr>
        <w:lang w:val="en-US"/>
      </w:rPr>
      <w:t>Feb 2024 updated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AB"/>
    <w:rsid w:val="00046179"/>
    <w:rsid w:val="0007639C"/>
    <w:rsid w:val="000F1F8D"/>
    <w:rsid w:val="0013628F"/>
    <w:rsid w:val="00147F63"/>
    <w:rsid w:val="002C119B"/>
    <w:rsid w:val="0033004C"/>
    <w:rsid w:val="00376AB7"/>
    <w:rsid w:val="00392286"/>
    <w:rsid w:val="003B6255"/>
    <w:rsid w:val="004358FB"/>
    <w:rsid w:val="004D08A4"/>
    <w:rsid w:val="005901A8"/>
    <w:rsid w:val="005B396C"/>
    <w:rsid w:val="005E405B"/>
    <w:rsid w:val="005F40CD"/>
    <w:rsid w:val="006C2593"/>
    <w:rsid w:val="00763FD1"/>
    <w:rsid w:val="007E01A5"/>
    <w:rsid w:val="00A1018E"/>
    <w:rsid w:val="00A34EAB"/>
    <w:rsid w:val="00A50508"/>
    <w:rsid w:val="00AB3652"/>
    <w:rsid w:val="00B76265"/>
    <w:rsid w:val="00C231BD"/>
    <w:rsid w:val="00C378A7"/>
    <w:rsid w:val="00C67830"/>
    <w:rsid w:val="00DD710D"/>
    <w:rsid w:val="00E05B10"/>
    <w:rsid w:val="00F02B6B"/>
    <w:rsid w:val="00F147D8"/>
    <w:rsid w:val="00F37F05"/>
    <w:rsid w:val="00F45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706A2"/>
  <w15:chartTrackingRefBased/>
  <w15:docId w15:val="{C03EE051-C668-4ED6-8F87-3559B2DC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96C"/>
  </w:style>
  <w:style w:type="paragraph" w:styleId="Footer">
    <w:name w:val="footer"/>
    <w:basedOn w:val="Normal"/>
    <w:link w:val="FooterChar"/>
    <w:uiPriority w:val="99"/>
    <w:unhideWhenUsed/>
    <w:rsid w:val="005B3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96C"/>
  </w:style>
  <w:style w:type="character" w:styleId="Hyperlink">
    <w:name w:val="Hyperlink"/>
    <w:basedOn w:val="DefaultParagraphFont"/>
    <w:uiPriority w:val="99"/>
    <w:unhideWhenUsed/>
    <w:rsid w:val="003B6255"/>
    <w:rPr>
      <w:color w:val="0563C1" w:themeColor="hyperlink"/>
      <w:u w:val="single"/>
    </w:rPr>
  </w:style>
  <w:style w:type="character" w:styleId="UnresolvedMention">
    <w:name w:val="Unresolved Mention"/>
    <w:basedOn w:val="DefaultParagraphFont"/>
    <w:uiPriority w:val="99"/>
    <w:semiHidden/>
    <w:unhideWhenUsed/>
    <w:rsid w:val="003B6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velop.bristol.ac.uk/ilp/pages/mentored-ojt.jsf?role=EMPLOYEE&amp;menuId=1405&amp;locale=en-GB&amp;showbundlekeys=fal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Manning</dc:creator>
  <cp:keywords/>
  <dc:description/>
  <cp:lastModifiedBy>Sarah Armstrong</cp:lastModifiedBy>
  <cp:revision>17</cp:revision>
  <dcterms:created xsi:type="dcterms:W3CDTF">2024-01-10T12:26:00Z</dcterms:created>
  <dcterms:modified xsi:type="dcterms:W3CDTF">2024-09-13T07:45:00Z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91e31773-9769-40ad-b520-2e8d5043ec34</vt:lpwstr>
  </property>
</Properties>
</file>